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69F1" w:rsidRDefault="00400742">
      <w:pPr>
        <w:pStyle w:val="BodyText"/>
        <w:ind w:left="3699"/>
        <w:rPr>
          <w:rFonts w:ascii="Times New Roman"/>
          <w:sz w:val="20"/>
        </w:rPr>
      </w:pPr>
      <w:r>
        <w:rPr>
          <w:rFonts w:ascii="Times New Roman"/>
          <w:noProof/>
          <w:sz w:val="20"/>
        </w:rPr>
        <w:drawing>
          <wp:inline distT="0" distB="0" distL="0" distR="0">
            <wp:extent cx="1442566" cy="1440179"/>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print"/>
                    <a:stretch>
                      <a:fillRect/>
                    </a:stretch>
                  </pic:blipFill>
                  <pic:spPr>
                    <a:xfrm>
                      <a:off x="0" y="0"/>
                      <a:ext cx="1442566" cy="1440179"/>
                    </a:xfrm>
                    <a:prstGeom prst="rect">
                      <a:avLst/>
                    </a:prstGeom>
                  </pic:spPr>
                </pic:pic>
              </a:graphicData>
            </a:graphic>
          </wp:inline>
        </w:drawing>
      </w:r>
    </w:p>
    <w:p w:rsidR="002D69F1" w:rsidRDefault="002D69F1">
      <w:pPr>
        <w:pStyle w:val="BodyText"/>
        <w:spacing w:before="3"/>
        <w:ind w:left="0"/>
        <w:rPr>
          <w:rFonts w:ascii="Times New Roman"/>
          <w:sz w:val="20"/>
        </w:rPr>
      </w:pPr>
    </w:p>
    <w:p w:rsidR="002D69F1" w:rsidRDefault="00400742">
      <w:pPr>
        <w:pStyle w:val="BodyText"/>
        <w:spacing w:before="55"/>
        <w:ind w:left="2345" w:right="2037" w:firstLine="642"/>
      </w:pPr>
      <w:r>
        <w:t>EXPORT‐IMPORT BANK OF THE UNITED STATES FISCAL YEAR 201</w:t>
      </w:r>
      <w:r w:rsidR="00844687">
        <w:t>8</w:t>
      </w:r>
      <w:r>
        <w:t xml:space="preserve"> (FY1</w:t>
      </w:r>
      <w:r w:rsidR="00844687">
        <w:t>8</w:t>
      </w:r>
      <w:r>
        <w:t>) ANNUAL CONFERENCE REPORT</w:t>
      </w:r>
    </w:p>
    <w:p w:rsidR="002D69F1" w:rsidRDefault="002D69F1">
      <w:pPr>
        <w:pStyle w:val="BodyText"/>
        <w:spacing w:before="7"/>
        <w:ind w:left="0"/>
        <w:rPr>
          <w:sz w:val="19"/>
        </w:rPr>
      </w:pPr>
    </w:p>
    <w:p w:rsidR="002D69F1" w:rsidRDefault="00400742">
      <w:pPr>
        <w:pStyle w:val="BodyText"/>
        <w:spacing w:before="1" w:line="278" w:lineRule="auto"/>
        <w:ind w:right="276"/>
      </w:pPr>
      <w:r>
        <w:t>In</w:t>
      </w:r>
      <w:r>
        <w:rPr>
          <w:spacing w:val="-9"/>
        </w:rPr>
        <w:t xml:space="preserve"> </w:t>
      </w:r>
      <w:r>
        <w:t>April</w:t>
      </w:r>
      <w:r>
        <w:rPr>
          <w:spacing w:val="-10"/>
        </w:rPr>
        <w:t xml:space="preserve"> </w:t>
      </w:r>
      <w:r w:rsidR="00844687">
        <w:t>2018</w:t>
      </w:r>
      <w:r>
        <w:t>,</w:t>
      </w:r>
      <w:r>
        <w:rPr>
          <w:spacing w:val="-9"/>
        </w:rPr>
        <w:t xml:space="preserve"> </w:t>
      </w:r>
      <w:r>
        <w:t>the</w:t>
      </w:r>
      <w:r>
        <w:rPr>
          <w:spacing w:val="-9"/>
        </w:rPr>
        <w:t xml:space="preserve"> </w:t>
      </w:r>
      <w:r>
        <w:t>Export‐Import</w:t>
      </w:r>
      <w:r>
        <w:rPr>
          <w:spacing w:val="-7"/>
        </w:rPr>
        <w:t xml:space="preserve"> </w:t>
      </w:r>
      <w:r>
        <w:t>Bank</w:t>
      </w:r>
      <w:r>
        <w:rPr>
          <w:spacing w:val="-10"/>
        </w:rPr>
        <w:t xml:space="preserve"> </w:t>
      </w:r>
      <w:r>
        <w:t>of</w:t>
      </w:r>
      <w:r>
        <w:rPr>
          <w:spacing w:val="-8"/>
        </w:rPr>
        <w:t xml:space="preserve"> </w:t>
      </w:r>
      <w:r>
        <w:t>the</w:t>
      </w:r>
      <w:r>
        <w:rPr>
          <w:spacing w:val="-7"/>
        </w:rPr>
        <w:t xml:space="preserve"> </w:t>
      </w:r>
      <w:r>
        <w:t>United</w:t>
      </w:r>
      <w:r>
        <w:rPr>
          <w:spacing w:val="-9"/>
        </w:rPr>
        <w:t xml:space="preserve"> </w:t>
      </w:r>
      <w:r>
        <w:t>States</w:t>
      </w:r>
      <w:r>
        <w:rPr>
          <w:spacing w:val="-7"/>
        </w:rPr>
        <w:t xml:space="preserve"> </w:t>
      </w:r>
      <w:r>
        <w:t>hosted</w:t>
      </w:r>
      <w:r>
        <w:rPr>
          <w:spacing w:val="-8"/>
        </w:rPr>
        <w:t xml:space="preserve"> </w:t>
      </w:r>
      <w:r>
        <w:t>its</w:t>
      </w:r>
      <w:r>
        <w:rPr>
          <w:spacing w:val="-10"/>
        </w:rPr>
        <w:t xml:space="preserve"> </w:t>
      </w:r>
      <w:r>
        <w:t>annual</w:t>
      </w:r>
      <w:r>
        <w:rPr>
          <w:spacing w:val="-7"/>
        </w:rPr>
        <w:t xml:space="preserve"> </w:t>
      </w:r>
      <w:r>
        <w:t>exporter</w:t>
      </w:r>
      <w:r>
        <w:rPr>
          <w:spacing w:val="-10"/>
        </w:rPr>
        <w:t xml:space="preserve"> </w:t>
      </w:r>
      <w:r>
        <w:t>and</w:t>
      </w:r>
      <w:r>
        <w:rPr>
          <w:spacing w:val="-8"/>
        </w:rPr>
        <w:t xml:space="preserve"> </w:t>
      </w:r>
      <w:r>
        <w:t xml:space="preserve">bankers’ conference April </w:t>
      </w:r>
      <w:r w:rsidR="00844687">
        <w:t>19-20</w:t>
      </w:r>
      <w:r>
        <w:t>, 201</w:t>
      </w:r>
      <w:r w:rsidR="00844687">
        <w:t>8</w:t>
      </w:r>
      <w:r>
        <w:t xml:space="preserve"> in Washington, D.C., at the Omni Shoreham</w:t>
      </w:r>
      <w:r>
        <w:rPr>
          <w:spacing w:val="-35"/>
        </w:rPr>
        <w:t xml:space="preserve"> </w:t>
      </w:r>
      <w:r>
        <w:t>Hotel.</w:t>
      </w:r>
    </w:p>
    <w:p w:rsidR="002D69F1" w:rsidRDefault="00400742">
      <w:pPr>
        <w:pStyle w:val="BodyText"/>
        <w:spacing w:before="193" w:line="276" w:lineRule="auto"/>
        <w:ind w:right="276"/>
      </w:pPr>
      <w:r>
        <w:t>In</w:t>
      </w:r>
      <w:r>
        <w:rPr>
          <w:spacing w:val="-10"/>
        </w:rPr>
        <w:t xml:space="preserve"> </w:t>
      </w:r>
      <w:r>
        <w:t>May</w:t>
      </w:r>
      <w:r>
        <w:rPr>
          <w:spacing w:val="-10"/>
        </w:rPr>
        <w:t xml:space="preserve"> </w:t>
      </w:r>
      <w:r>
        <w:t>2012,</w:t>
      </w:r>
      <w:r>
        <w:rPr>
          <w:spacing w:val="-8"/>
        </w:rPr>
        <w:t xml:space="preserve"> </w:t>
      </w:r>
      <w:r>
        <w:t>the</w:t>
      </w:r>
      <w:r>
        <w:rPr>
          <w:spacing w:val="-8"/>
        </w:rPr>
        <w:t xml:space="preserve"> </w:t>
      </w:r>
      <w:r>
        <w:t>Office</w:t>
      </w:r>
      <w:r>
        <w:rPr>
          <w:spacing w:val="-11"/>
        </w:rPr>
        <w:t xml:space="preserve"> </w:t>
      </w:r>
      <w:r>
        <w:t>of</w:t>
      </w:r>
      <w:r>
        <w:rPr>
          <w:spacing w:val="-10"/>
        </w:rPr>
        <w:t xml:space="preserve"> </w:t>
      </w:r>
      <w:r>
        <w:t>Management</w:t>
      </w:r>
      <w:r>
        <w:rPr>
          <w:spacing w:val="-11"/>
        </w:rPr>
        <w:t xml:space="preserve"> </w:t>
      </w:r>
      <w:r>
        <w:t>and</w:t>
      </w:r>
      <w:r>
        <w:rPr>
          <w:spacing w:val="-11"/>
        </w:rPr>
        <w:t xml:space="preserve"> </w:t>
      </w:r>
      <w:r>
        <w:t>Budget</w:t>
      </w:r>
      <w:r>
        <w:rPr>
          <w:spacing w:val="-8"/>
        </w:rPr>
        <w:t xml:space="preserve"> </w:t>
      </w:r>
      <w:r>
        <w:t>(OMB)</w:t>
      </w:r>
      <w:r>
        <w:rPr>
          <w:spacing w:val="-11"/>
        </w:rPr>
        <w:t xml:space="preserve"> </w:t>
      </w:r>
      <w:r>
        <w:t>issued</w:t>
      </w:r>
      <w:r>
        <w:rPr>
          <w:spacing w:val="-11"/>
        </w:rPr>
        <w:t xml:space="preserve"> </w:t>
      </w:r>
      <w:r>
        <w:t>Memorandum</w:t>
      </w:r>
      <w:r>
        <w:rPr>
          <w:spacing w:val="-10"/>
        </w:rPr>
        <w:t xml:space="preserve"> </w:t>
      </w:r>
      <w:r>
        <w:t>M‐12‐12,</w:t>
      </w:r>
      <w:r>
        <w:rPr>
          <w:spacing w:val="-11"/>
        </w:rPr>
        <w:t xml:space="preserve"> </w:t>
      </w:r>
      <w:r>
        <w:t>Promoting Efficient</w:t>
      </w:r>
      <w:r>
        <w:rPr>
          <w:spacing w:val="-9"/>
        </w:rPr>
        <w:t xml:space="preserve"> </w:t>
      </w:r>
      <w:r>
        <w:t>Spending</w:t>
      </w:r>
      <w:r>
        <w:rPr>
          <w:spacing w:val="-10"/>
        </w:rPr>
        <w:t xml:space="preserve"> </w:t>
      </w:r>
      <w:r>
        <w:t>to</w:t>
      </w:r>
      <w:r>
        <w:rPr>
          <w:spacing w:val="-8"/>
        </w:rPr>
        <w:t xml:space="preserve"> </w:t>
      </w:r>
      <w:r>
        <w:t>Support</w:t>
      </w:r>
      <w:r>
        <w:rPr>
          <w:spacing w:val="-8"/>
        </w:rPr>
        <w:t xml:space="preserve"> </w:t>
      </w:r>
      <w:r>
        <w:t>Agency</w:t>
      </w:r>
      <w:r>
        <w:rPr>
          <w:spacing w:val="-10"/>
        </w:rPr>
        <w:t xml:space="preserve"> </w:t>
      </w:r>
      <w:r>
        <w:t>Operations.</w:t>
      </w:r>
      <w:r>
        <w:rPr>
          <w:spacing w:val="-9"/>
        </w:rPr>
        <w:t xml:space="preserve"> </w:t>
      </w:r>
      <w:r>
        <w:t>The</w:t>
      </w:r>
      <w:r>
        <w:rPr>
          <w:spacing w:val="-10"/>
        </w:rPr>
        <w:t xml:space="preserve"> </w:t>
      </w:r>
      <w:r>
        <w:t>memorandum</w:t>
      </w:r>
      <w:r>
        <w:rPr>
          <w:spacing w:val="-11"/>
        </w:rPr>
        <w:t xml:space="preserve"> </w:t>
      </w:r>
      <w:r>
        <w:t>outlined</w:t>
      </w:r>
      <w:r>
        <w:rPr>
          <w:spacing w:val="-12"/>
        </w:rPr>
        <w:t xml:space="preserve"> </w:t>
      </w:r>
      <w:r>
        <w:t>a</w:t>
      </w:r>
      <w:r>
        <w:rPr>
          <w:spacing w:val="-7"/>
        </w:rPr>
        <w:t xml:space="preserve"> </w:t>
      </w:r>
      <w:r>
        <w:t>series</w:t>
      </w:r>
      <w:r>
        <w:rPr>
          <w:spacing w:val="-10"/>
        </w:rPr>
        <w:t xml:space="preserve"> </w:t>
      </w:r>
      <w:r>
        <w:t>of</w:t>
      </w:r>
      <w:r>
        <w:rPr>
          <w:spacing w:val="-9"/>
        </w:rPr>
        <w:t xml:space="preserve"> </w:t>
      </w:r>
      <w:r>
        <w:t>new</w:t>
      </w:r>
      <w:r>
        <w:rPr>
          <w:spacing w:val="-7"/>
        </w:rPr>
        <w:t xml:space="preserve"> </w:t>
      </w:r>
      <w:r>
        <w:t>policies and practices regarding conferences and directed agencies to report conference expenses for the previous</w:t>
      </w:r>
      <w:r>
        <w:rPr>
          <w:spacing w:val="-4"/>
        </w:rPr>
        <w:t xml:space="preserve"> </w:t>
      </w:r>
      <w:r>
        <w:t>fiscal</w:t>
      </w:r>
      <w:r>
        <w:rPr>
          <w:spacing w:val="-7"/>
        </w:rPr>
        <w:t xml:space="preserve"> </w:t>
      </w:r>
      <w:r>
        <w:t>year</w:t>
      </w:r>
      <w:r>
        <w:rPr>
          <w:spacing w:val="-4"/>
        </w:rPr>
        <w:t xml:space="preserve"> </w:t>
      </w:r>
      <w:r>
        <w:t>on</w:t>
      </w:r>
      <w:r>
        <w:rPr>
          <w:spacing w:val="-5"/>
        </w:rPr>
        <w:t xml:space="preserve"> </w:t>
      </w:r>
      <w:r>
        <w:t>their</w:t>
      </w:r>
      <w:r>
        <w:rPr>
          <w:spacing w:val="-4"/>
        </w:rPr>
        <w:t xml:space="preserve"> </w:t>
      </w:r>
      <w:r>
        <w:t>public</w:t>
      </w:r>
      <w:r>
        <w:rPr>
          <w:spacing w:val="-2"/>
        </w:rPr>
        <w:t xml:space="preserve"> </w:t>
      </w:r>
      <w:r>
        <w:t>websites</w:t>
      </w:r>
      <w:r>
        <w:rPr>
          <w:spacing w:val="-1"/>
        </w:rPr>
        <w:t xml:space="preserve"> </w:t>
      </w:r>
      <w:r>
        <w:t>beginning</w:t>
      </w:r>
      <w:r>
        <w:rPr>
          <w:spacing w:val="-4"/>
        </w:rPr>
        <w:t xml:space="preserve"> </w:t>
      </w:r>
      <w:r>
        <w:t>January</w:t>
      </w:r>
      <w:r>
        <w:rPr>
          <w:spacing w:val="-3"/>
        </w:rPr>
        <w:t xml:space="preserve"> </w:t>
      </w:r>
      <w:r>
        <w:t>31,</w:t>
      </w:r>
      <w:r>
        <w:rPr>
          <w:spacing w:val="-4"/>
        </w:rPr>
        <w:t xml:space="preserve"> </w:t>
      </w:r>
      <w:r>
        <w:t>2013.</w:t>
      </w:r>
    </w:p>
    <w:p w:rsidR="002D69F1" w:rsidRDefault="002D69F1">
      <w:pPr>
        <w:pStyle w:val="BodyText"/>
        <w:spacing w:before="11"/>
        <w:ind w:left="0"/>
        <w:rPr>
          <w:sz w:val="21"/>
        </w:rPr>
      </w:pPr>
    </w:p>
    <w:p w:rsidR="002D69F1" w:rsidRDefault="00400742">
      <w:pPr>
        <w:pStyle w:val="BodyText"/>
        <w:ind w:left="115" w:right="276"/>
      </w:pPr>
      <w:r>
        <w:t>This</w:t>
      </w:r>
      <w:r>
        <w:rPr>
          <w:spacing w:val="-7"/>
        </w:rPr>
        <w:t xml:space="preserve"> </w:t>
      </w:r>
      <w:r>
        <w:t>report</w:t>
      </w:r>
      <w:r>
        <w:rPr>
          <w:spacing w:val="-7"/>
        </w:rPr>
        <w:t xml:space="preserve"> </w:t>
      </w:r>
      <w:r>
        <w:t>provides</w:t>
      </w:r>
      <w:r>
        <w:rPr>
          <w:spacing w:val="-8"/>
        </w:rPr>
        <w:t xml:space="preserve"> </w:t>
      </w:r>
      <w:r>
        <w:t>a</w:t>
      </w:r>
      <w:r>
        <w:rPr>
          <w:spacing w:val="-7"/>
        </w:rPr>
        <w:t xml:space="preserve"> </w:t>
      </w:r>
      <w:r>
        <w:t>summary</w:t>
      </w:r>
      <w:r>
        <w:rPr>
          <w:spacing w:val="-9"/>
        </w:rPr>
        <w:t xml:space="preserve"> </w:t>
      </w:r>
      <w:r>
        <w:t>of</w:t>
      </w:r>
      <w:r>
        <w:rPr>
          <w:spacing w:val="-8"/>
        </w:rPr>
        <w:t xml:space="preserve"> </w:t>
      </w:r>
      <w:r>
        <w:t>expenses</w:t>
      </w:r>
      <w:r>
        <w:rPr>
          <w:spacing w:val="-9"/>
        </w:rPr>
        <w:t xml:space="preserve"> </w:t>
      </w:r>
      <w:r>
        <w:t>incurred</w:t>
      </w:r>
      <w:r>
        <w:rPr>
          <w:spacing w:val="-9"/>
        </w:rPr>
        <w:t xml:space="preserve"> </w:t>
      </w:r>
      <w:r>
        <w:t>by</w:t>
      </w:r>
      <w:r>
        <w:rPr>
          <w:spacing w:val="-7"/>
        </w:rPr>
        <w:t xml:space="preserve"> </w:t>
      </w:r>
      <w:r>
        <w:t>EXIM</w:t>
      </w:r>
      <w:r>
        <w:rPr>
          <w:spacing w:val="-7"/>
        </w:rPr>
        <w:t xml:space="preserve"> </w:t>
      </w:r>
      <w:r>
        <w:t>Bank</w:t>
      </w:r>
      <w:r>
        <w:rPr>
          <w:spacing w:val="-11"/>
        </w:rPr>
        <w:t xml:space="preserve"> </w:t>
      </w:r>
      <w:r>
        <w:t>for</w:t>
      </w:r>
      <w:r>
        <w:rPr>
          <w:spacing w:val="-8"/>
        </w:rPr>
        <w:t xml:space="preserve"> </w:t>
      </w:r>
      <w:r>
        <w:t>its</w:t>
      </w:r>
      <w:r>
        <w:rPr>
          <w:spacing w:val="-7"/>
        </w:rPr>
        <w:t xml:space="preserve"> </w:t>
      </w:r>
      <w:r>
        <w:t>Annual</w:t>
      </w:r>
      <w:r>
        <w:rPr>
          <w:spacing w:val="-10"/>
        </w:rPr>
        <w:t xml:space="preserve"> </w:t>
      </w:r>
      <w:r>
        <w:t>Conference</w:t>
      </w:r>
      <w:r>
        <w:rPr>
          <w:spacing w:val="-6"/>
        </w:rPr>
        <w:t xml:space="preserve"> </w:t>
      </w:r>
      <w:r>
        <w:t xml:space="preserve">held April </w:t>
      </w:r>
      <w:r w:rsidR="00844687">
        <w:t>19-20, 2018</w:t>
      </w:r>
      <w:r>
        <w:t>.</w:t>
      </w:r>
    </w:p>
    <w:p w:rsidR="002D69F1" w:rsidRDefault="00400742">
      <w:pPr>
        <w:pStyle w:val="BodyText"/>
        <w:spacing w:before="194" w:line="276" w:lineRule="auto"/>
        <w:ind w:right="30" w:hanging="2"/>
      </w:pPr>
      <w:r>
        <w:t>The Export‐Import Bank of the United States (EXIM Bank) is the official export‐credit agency of the United</w:t>
      </w:r>
      <w:r>
        <w:rPr>
          <w:spacing w:val="-9"/>
        </w:rPr>
        <w:t xml:space="preserve"> </w:t>
      </w:r>
      <w:r>
        <w:t>States.</w:t>
      </w:r>
      <w:r>
        <w:rPr>
          <w:spacing w:val="-7"/>
        </w:rPr>
        <w:t xml:space="preserve"> </w:t>
      </w:r>
      <w:r>
        <w:t>The</w:t>
      </w:r>
      <w:r>
        <w:rPr>
          <w:spacing w:val="-8"/>
        </w:rPr>
        <w:t xml:space="preserve"> </w:t>
      </w:r>
      <w:r>
        <w:t>Bank's</w:t>
      </w:r>
      <w:r>
        <w:rPr>
          <w:spacing w:val="-8"/>
        </w:rPr>
        <w:t xml:space="preserve"> </w:t>
      </w:r>
      <w:r>
        <w:t>mission</w:t>
      </w:r>
      <w:r>
        <w:rPr>
          <w:spacing w:val="-9"/>
        </w:rPr>
        <w:t xml:space="preserve"> </w:t>
      </w:r>
      <w:r>
        <w:t>is</w:t>
      </w:r>
      <w:r>
        <w:rPr>
          <w:spacing w:val="-6"/>
        </w:rPr>
        <w:t xml:space="preserve"> </w:t>
      </w:r>
      <w:r>
        <w:t>to</w:t>
      </w:r>
      <w:r>
        <w:rPr>
          <w:spacing w:val="-6"/>
        </w:rPr>
        <w:t xml:space="preserve"> </w:t>
      </w:r>
      <w:r>
        <w:t>support</w:t>
      </w:r>
      <w:r>
        <w:rPr>
          <w:spacing w:val="-7"/>
        </w:rPr>
        <w:t xml:space="preserve"> </w:t>
      </w:r>
      <w:r>
        <w:t>jobs</w:t>
      </w:r>
      <w:r>
        <w:rPr>
          <w:spacing w:val="-6"/>
        </w:rPr>
        <w:t xml:space="preserve"> </w:t>
      </w:r>
      <w:r>
        <w:t>in</w:t>
      </w:r>
      <w:r>
        <w:rPr>
          <w:spacing w:val="-10"/>
        </w:rPr>
        <w:t xml:space="preserve"> </w:t>
      </w:r>
      <w:r>
        <w:t>the</w:t>
      </w:r>
      <w:r>
        <w:rPr>
          <w:spacing w:val="-6"/>
        </w:rPr>
        <w:t xml:space="preserve"> </w:t>
      </w:r>
      <w:r>
        <w:t>United</w:t>
      </w:r>
      <w:r>
        <w:rPr>
          <w:spacing w:val="-8"/>
        </w:rPr>
        <w:t xml:space="preserve"> </w:t>
      </w:r>
      <w:r>
        <w:t>States</w:t>
      </w:r>
      <w:r>
        <w:rPr>
          <w:spacing w:val="-7"/>
        </w:rPr>
        <w:t xml:space="preserve"> </w:t>
      </w:r>
      <w:r>
        <w:t>by</w:t>
      </w:r>
      <w:r>
        <w:rPr>
          <w:spacing w:val="-8"/>
        </w:rPr>
        <w:t xml:space="preserve"> </w:t>
      </w:r>
      <w:r>
        <w:t>facilitating</w:t>
      </w:r>
      <w:r>
        <w:rPr>
          <w:spacing w:val="-8"/>
        </w:rPr>
        <w:t xml:space="preserve"> </w:t>
      </w:r>
      <w:r>
        <w:t>the</w:t>
      </w:r>
      <w:r>
        <w:rPr>
          <w:spacing w:val="-9"/>
        </w:rPr>
        <w:t xml:space="preserve"> </w:t>
      </w:r>
      <w:r>
        <w:t>export</w:t>
      </w:r>
      <w:r>
        <w:rPr>
          <w:spacing w:val="-10"/>
        </w:rPr>
        <w:t xml:space="preserve"> </w:t>
      </w:r>
      <w:r>
        <w:t>of</w:t>
      </w:r>
      <w:r>
        <w:rPr>
          <w:spacing w:val="-6"/>
        </w:rPr>
        <w:t xml:space="preserve"> </w:t>
      </w:r>
      <w:r>
        <w:t>U.S. goods</w:t>
      </w:r>
      <w:r>
        <w:rPr>
          <w:spacing w:val="-10"/>
        </w:rPr>
        <w:t xml:space="preserve"> </w:t>
      </w:r>
      <w:r>
        <w:t>and</w:t>
      </w:r>
      <w:r>
        <w:rPr>
          <w:spacing w:val="-9"/>
        </w:rPr>
        <w:t xml:space="preserve"> </w:t>
      </w:r>
      <w:r>
        <w:t>services.</w:t>
      </w:r>
      <w:r>
        <w:rPr>
          <w:spacing w:val="-11"/>
        </w:rPr>
        <w:t xml:space="preserve"> </w:t>
      </w:r>
      <w:r>
        <w:t>The</w:t>
      </w:r>
      <w:r>
        <w:rPr>
          <w:spacing w:val="-8"/>
        </w:rPr>
        <w:t xml:space="preserve"> </w:t>
      </w:r>
      <w:r>
        <w:t>Bank</w:t>
      </w:r>
      <w:r>
        <w:rPr>
          <w:spacing w:val="-8"/>
        </w:rPr>
        <w:t xml:space="preserve"> </w:t>
      </w:r>
      <w:r>
        <w:t>provides</w:t>
      </w:r>
      <w:r>
        <w:rPr>
          <w:spacing w:val="-7"/>
        </w:rPr>
        <w:t xml:space="preserve"> </w:t>
      </w:r>
      <w:r>
        <w:t>competitive</w:t>
      </w:r>
      <w:r>
        <w:rPr>
          <w:spacing w:val="-7"/>
        </w:rPr>
        <w:t xml:space="preserve"> </w:t>
      </w:r>
      <w:r>
        <w:t>export</w:t>
      </w:r>
      <w:r>
        <w:rPr>
          <w:spacing w:val="-8"/>
        </w:rPr>
        <w:t xml:space="preserve"> </w:t>
      </w:r>
      <w:r>
        <w:t>financing</w:t>
      </w:r>
      <w:r>
        <w:rPr>
          <w:spacing w:val="-10"/>
        </w:rPr>
        <w:t xml:space="preserve"> </w:t>
      </w:r>
      <w:r>
        <w:t>and</w:t>
      </w:r>
      <w:r>
        <w:rPr>
          <w:spacing w:val="-9"/>
        </w:rPr>
        <w:t xml:space="preserve"> </w:t>
      </w:r>
      <w:r>
        <w:t>ensures</w:t>
      </w:r>
      <w:r>
        <w:rPr>
          <w:spacing w:val="-10"/>
        </w:rPr>
        <w:t xml:space="preserve"> </w:t>
      </w:r>
      <w:r>
        <w:t>a</w:t>
      </w:r>
      <w:r>
        <w:rPr>
          <w:spacing w:val="-8"/>
        </w:rPr>
        <w:t xml:space="preserve"> </w:t>
      </w:r>
      <w:r>
        <w:t>level</w:t>
      </w:r>
      <w:r>
        <w:rPr>
          <w:spacing w:val="-8"/>
        </w:rPr>
        <w:t xml:space="preserve"> </w:t>
      </w:r>
      <w:r>
        <w:t>playing</w:t>
      </w:r>
      <w:r>
        <w:rPr>
          <w:spacing w:val="-10"/>
        </w:rPr>
        <w:t xml:space="preserve"> </w:t>
      </w:r>
      <w:r>
        <w:t>field</w:t>
      </w:r>
      <w:r>
        <w:rPr>
          <w:spacing w:val="-9"/>
        </w:rPr>
        <w:t xml:space="preserve"> </w:t>
      </w:r>
      <w:r>
        <w:t>for</w:t>
      </w:r>
    </w:p>
    <w:p w:rsidR="002D69F1" w:rsidRDefault="00400742">
      <w:pPr>
        <w:pStyle w:val="BodyText"/>
        <w:spacing w:line="276" w:lineRule="auto"/>
        <w:ind w:right="30"/>
      </w:pPr>
      <w:r>
        <w:t xml:space="preserve">U.S. exports in the global marketplace. EXIM Bank's annual conference offers a unique opportunity for </w:t>
      </w:r>
      <w:r w:rsidR="00844687">
        <w:t xml:space="preserve">up to </w:t>
      </w:r>
      <w:r>
        <w:t>1,</w:t>
      </w:r>
      <w:r w:rsidR="00844687">
        <w:t>000</w:t>
      </w:r>
      <w:r>
        <w:t xml:space="preserve"> exporters, bankers, brokers and international trading partners to meet EXIM </w:t>
      </w:r>
      <w:r>
        <w:rPr>
          <w:spacing w:val="-2"/>
        </w:rPr>
        <w:t xml:space="preserve">Bank's </w:t>
      </w:r>
      <w:r>
        <w:t>staff</w:t>
      </w:r>
      <w:r>
        <w:rPr>
          <w:spacing w:val="-10"/>
        </w:rPr>
        <w:t xml:space="preserve"> </w:t>
      </w:r>
      <w:r>
        <w:t>and</w:t>
      </w:r>
      <w:r>
        <w:rPr>
          <w:spacing w:val="-12"/>
        </w:rPr>
        <w:t xml:space="preserve"> </w:t>
      </w:r>
      <w:r>
        <w:t>other</w:t>
      </w:r>
      <w:r>
        <w:rPr>
          <w:spacing w:val="-10"/>
        </w:rPr>
        <w:t xml:space="preserve"> </w:t>
      </w:r>
      <w:r>
        <w:t>U.S.</w:t>
      </w:r>
      <w:r>
        <w:rPr>
          <w:spacing w:val="-8"/>
        </w:rPr>
        <w:t xml:space="preserve"> </w:t>
      </w:r>
      <w:r>
        <w:t>government</w:t>
      </w:r>
      <w:r>
        <w:rPr>
          <w:spacing w:val="-13"/>
        </w:rPr>
        <w:t xml:space="preserve"> </w:t>
      </w:r>
      <w:r>
        <w:t>representatives</w:t>
      </w:r>
      <w:r>
        <w:rPr>
          <w:spacing w:val="-11"/>
        </w:rPr>
        <w:t xml:space="preserve"> </w:t>
      </w:r>
      <w:r>
        <w:t>to</w:t>
      </w:r>
      <w:r>
        <w:rPr>
          <w:spacing w:val="-8"/>
        </w:rPr>
        <w:t xml:space="preserve"> </w:t>
      </w:r>
      <w:r>
        <w:t>learn</w:t>
      </w:r>
      <w:r>
        <w:rPr>
          <w:spacing w:val="-10"/>
        </w:rPr>
        <w:t xml:space="preserve"> </w:t>
      </w:r>
      <w:r>
        <w:t>more</w:t>
      </w:r>
      <w:r>
        <w:rPr>
          <w:spacing w:val="-8"/>
        </w:rPr>
        <w:t xml:space="preserve"> </w:t>
      </w:r>
      <w:r>
        <w:t>about</w:t>
      </w:r>
      <w:r>
        <w:rPr>
          <w:spacing w:val="-11"/>
        </w:rPr>
        <w:t xml:space="preserve"> </w:t>
      </w:r>
      <w:r>
        <w:t>export</w:t>
      </w:r>
      <w:r>
        <w:rPr>
          <w:spacing w:val="-9"/>
        </w:rPr>
        <w:t xml:space="preserve"> </w:t>
      </w:r>
      <w:r>
        <w:t>finance</w:t>
      </w:r>
      <w:r>
        <w:rPr>
          <w:spacing w:val="-9"/>
        </w:rPr>
        <w:t xml:space="preserve"> </w:t>
      </w:r>
      <w:r>
        <w:t>and</w:t>
      </w:r>
      <w:r>
        <w:rPr>
          <w:spacing w:val="-9"/>
        </w:rPr>
        <w:t xml:space="preserve"> </w:t>
      </w:r>
      <w:r>
        <w:t>trade</w:t>
      </w:r>
      <w:r>
        <w:rPr>
          <w:spacing w:val="-12"/>
        </w:rPr>
        <w:t xml:space="preserve"> </w:t>
      </w:r>
      <w:r>
        <w:t xml:space="preserve">products. Our financing of U.S. exports supports American jobs and is helping to lay the foundation for a more competitive economy. </w:t>
      </w:r>
      <w:r w:rsidR="00844687">
        <w:t xml:space="preserve"> </w:t>
      </w:r>
      <w:r>
        <w:t>EXIM Bank’s Annual Conference is a unique opportunity to connect foreign buyers with U.S. exporters to create lasting relationships that will help increase U.S. exports and create jobs here at</w:t>
      </w:r>
      <w:r>
        <w:rPr>
          <w:spacing w:val="-7"/>
        </w:rPr>
        <w:t xml:space="preserve"> </w:t>
      </w:r>
      <w:r>
        <w:t>home.</w:t>
      </w:r>
    </w:p>
    <w:p w:rsidR="002D69F1" w:rsidRDefault="00400742">
      <w:pPr>
        <w:pStyle w:val="BodyText"/>
        <w:spacing w:before="195" w:line="276" w:lineRule="auto"/>
        <w:ind w:right="30" w:hanging="1"/>
      </w:pPr>
      <w:r>
        <w:t>The</w:t>
      </w:r>
      <w:r>
        <w:rPr>
          <w:spacing w:val="-10"/>
        </w:rPr>
        <w:t xml:space="preserve"> </w:t>
      </w:r>
      <w:r>
        <w:t>OMB</w:t>
      </w:r>
      <w:r>
        <w:rPr>
          <w:spacing w:val="-10"/>
        </w:rPr>
        <w:t xml:space="preserve"> </w:t>
      </w:r>
      <w:r>
        <w:t>conference</w:t>
      </w:r>
      <w:r>
        <w:rPr>
          <w:spacing w:val="-11"/>
        </w:rPr>
        <w:t xml:space="preserve"> </w:t>
      </w:r>
      <w:r>
        <w:t>policy</w:t>
      </w:r>
      <w:r>
        <w:rPr>
          <w:spacing w:val="-11"/>
        </w:rPr>
        <w:t xml:space="preserve"> </w:t>
      </w:r>
      <w:r>
        <w:t>guidance</w:t>
      </w:r>
      <w:r>
        <w:rPr>
          <w:spacing w:val="-9"/>
        </w:rPr>
        <w:t xml:space="preserve"> </w:t>
      </w:r>
      <w:r>
        <w:t>documents</w:t>
      </w:r>
      <w:r>
        <w:rPr>
          <w:spacing w:val="-12"/>
        </w:rPr>
        <w:t xml:space="preserve"> </w:t>
      </w:r>
      <w:r>
        <w:t>the</w:t>
      </w:r>
      <w:r>
        <w:rPr>
          <w:spacing w:val="-12"/>
        </w:rPr>
        <w:t xml:space="preserve"> </w:t>
      </w:r>
      <w:r>
        <w:t>review</w:t>
      </w:r>
      <w:r>
        <w:rPr>
          <w:spacing w:val="-10"/>
        </w:rPr>
        <w:t xml:space="preserve"> </w:t>
      </w:r>
      <w:r>
        <w:t>process</w:t>
      </w:r>
      <w:r>
        <w:rPr>
          <w:spacing w:val="-10"/>
        </w:rPr>
        <w:t xml:space="preserve"> </w:t>
      </w:r>
      <w:r>
        <w:t>for</w:t>
      </w:r>
      <w:r>
        <w:rPr>
          <w:spacing w:val="-11"/>
        </w:rPr>
        <w:t xml:space="preserve"> </w:t>
      </w:r>
      <w:r>
        <w:t>conference</w:t>
      </w:r>
      <w:r>
        <w:rPr>
          <w:spacing w:val="-10"/>
        </w:rPr>
        <w:t xml:space="preserve"> </w:t>
      </w:r>
      <w:r>
        <w:t>expenses,</w:t>
      </w:r>
      <w:r>
        <w:rPr>
          <w:spacing w:val="-13"/>
        </w:rPr>
        <w:t xml:space="preserve"> </w:t>
      </w:r>
      <w:r>
        <w:t>including the following approval</w:t>
      </w:r>
      <w:r>
        <w:rPr>
          <w:spacing w:val="-4"/>
        </w:rPr>
        <w:t xml:space="preserve"> </w:t>
      </w:r>
      <w:r>
        <w:t>requirements:</w:t>
      </w:r>
    </w:p>
    <w:p w:rsidR="002D69F1" w:rsidRDefault="00400742">
      <w:pPr>
        <w:pStyle w:val="ListParagraph"/>
        <w:numPr>
          <w:ilvl w:val="0"/>
          <w:numId w:val="1"/>
        </w:numPr>
        <w:tabs>
          <w:tab w:val="left" w:pos="838"/>
          <w:tab w:val="left" w:pos="839"/>
        </w:tabs>
        <w:spacing w:before="197" w:line="268" w:lineRule="exact"/>
      </w:pPr>
      <w:r>
        <w:t>The</w:t>
      </w:r>
      <w:r>
        <w:rPr>
          <w:spacing w:val="-3"/>
        </w:rPr>
        <w:t xml:space="preserve"> </w:t>
      </w:r>
      <w:r>
        <w:t>Chief</w:t>
      </w:r>
      <w:r>
        <w:rPr>
          <w:spacing w:val="-4"/>
        </w:rPr>
        <w:t xml:space="preserve"> </w:t>
      </w:r>
      <w:r>
        <w:t>Financial</w:t>
      </w:r>
      <w:r>
        <w:rPr>
          <w:spacing w:val="-6"/>
        </w:rPr>
        <w:t xml:space="preserve"> </w:t>
      </w:r>
      <w:r>
        <w:t>Operating</w:t>
      </w:r>
      <w:r>
        <w:rPr>
          <w:spacing w:val="-5"/>
        </w:rPr>
        <w:t xml:space="preserve"> </w:t>
      </w:r>
      <w:r>
        <w:t>Officer</w:t>
      </w:r>
      <w:r>
        <w:rPr>
          <w:spacing w:val="-6"/>
        </w:rPr>
        <w:t xml:space="preserve"> </w:t>
      </w:r>
      <w:r>
        <w:t>must</w:t>
      </w:r>
      <w:r>
        <w:rPr>
          <w:spacing w:val="-7"/>
        </w:rPr>
        <w:t xml:space="preserve"> </w:t>
      </w:r>
      <w:r>
        <w:t>approve</w:t>
      </w:r>
      <w:r>
        <w:rPr>
          <w:spacing w:val="-1"/>
        </w:rPr>
        <w:t xml:space="preserve"> </w:t>
      </w:r>
      <w:r>
        <w:t>all</w:t>
      </w:r>
      <w:r>
        <w:rPr>
          <w:spacing w:val="-8"/>
        </w:rPr>
        <w:t xml:space="preserve"> </w:t>
      </w:r>
      <w:r>
        <w:t>estimated</w:t>
      </w:r>
      <w:r>
        <w:rPr>
          <w:spacing w:val="-5"/>
        </w:rPr>
        <w:t xml:space="preserve"> </w:t>
      </w:r>
      <w:r>
        <w:t>expenditures</w:t>
      </w:r>
      <w:r>
        <w:rPr>
          <w:spacing w:val="-2"/>
        </w:rPr>
        <w:t xml:space="preserve"> </w:t>
      </w:r>
      <w:r>
        <w:t>up</w:t>
      </w:r>
      <w:r>
        <w:rPr>
          <w:spacing w:val="-7"/>
        </w:rPr>
        <w:t xml:space="preserve"> </w:t>
      </w:r>
      <w:r>
        <w:t>to</w:t>
      </w:r>
    </w:p>
    <w:p w:rsidR="002D69F1" w:rsidRDefault="00400742">
      <w:pPr>
        <w:pStyle w:val="BodyText"/>
        <w:spacing w:line="268" w:lineRule="exact"/>
        <w:ind w:left="838"/>
      </w:pPr>
      <w:r>
        <w:t>$500 thousand;</w:t>
      </w:r>
    </w:p>
    <w:p w:rsidR="002D69F1" w:rsidRDefault="002D69F1">
      <w:pPr>
        <w:pStyle w:val="BodyText"/>
        <w:ind w:left="0"/>
      </w:pPr>
    </w:p>
    <w:p w:rsidR="002D69F1" w:rsidRDefault="00400742">
      <w:pPr>
        <w:pStyle w:val="ListParagraph"/>
        <w:numPr>
          <w:ilvl w:val="0"/>
          <w:numId w:val="1"/>
        </w:numPr>
        <w:tabs>
          <w:tab w:val="left" w:pos="838"/>
          <w:tab w:val="left" w:pos="839"/>
        </w:tabs>
        <w:spacing w:line="278" w:lineRule="auto"/>
        <w:ind w:right="353"/>
      </w:pPr>
      <w:r>
        <w:t>The</w:t>
      </w:r>
      <w:r>
        <w:rPr>
          <w:spacing w:val="-7"/>
        </w:rPr>
        <w:t xml:space="preserve"> </w:t>
      </w:r>
      <w:r>
        <w:t>Chairman</w:t>
      </w:r>
      <w:r>
        <w:rPr>
          <w:spacing w:val="-10"/>
        </w:rPr>
        <w:t xml:space="preserve"> </w:t>
      </w:r>
      <w:r>
        <w:t>and</w:t>
      </w:r>
      <w:r>
        <w:rPr>
          <w:spacing w:val="-11"/>
        </w:rPr>
        <w:t xml:space="preserve"> </w:t>
      </w:r>
      <w:r>
        <w:t>President</w:t>
      </w:r>
      <w:r>
        <w:rPr>
          <w:spacing w:val="-8"/>
        </w:rPr>
        <w:t xml:space="preserve"> </w:t>
      </w:r>
      <w:r>
        <w:t>of</w:t>
      </w:r>
      <w:r>
        <w:rPr>
          <w:spacing w:val="-9"/>
        </w:rPr>
        <w:t xml:space="preserve"> </w:t>
      </w:r>
      <w:r>
        <w:t>the</w:t>
      </w:r>
      <w:r>
        <w:rPr>
          <w:spacing w:val="-6"/>
        </w:rPr>
        <w:t xml:space="preserve"> </w:t>
      </w:r>
      <w:r>
        <w:t>Bank</w:t>
      </w:r>
      <w:r>
        <w:rPr>
          <w:spacing w:val="-11"/>
        </w:rPr>
        <w:t xml:space="preserve"> </w:t>
      </w:r>
      <w:r>
        <w:t>must</w:t>
      </w:r>
      <w:r>
        <w:rPr>
          <w:spacing w:val="-6"/>
        </w:rPr>
        <w:t xml:space="preserve"> </w:t>
      </w:r>
      <w:r>
        <w:t>approve</w:t>
      </w:r>
      <w:r>
        <w:rPr>
          <w:spacing w:val="-7"/>
        </w:rPr>
        <w:t xml:space="preserve"> </w:t>
      </w:r>
      <w:r>
        <w:t>expenditures</w:t>
      </w:r>
      <w:r>
        <w:rPr>
          <w:spacing w:val="-8"/>
        </w:rPr>
        <w:t xml:space="preserve"> </w:t>
      </w:r>
      <w:r>
        <w:t>and</w:t>
      </w:r>
      <w:r>
        <w:rPr>
          <w:spacing w:val="-8"/>
        </w:rPr>
        <w:t xml:space="preserve"> </w:t>
      </w:r>
      <w:r>
        <w:t>provide</w:t>
      </w:r>
      <w:r>
        <w:rPr>
          <w:spacing w:val="-10"/>
        </w:rPr>
        <w:t xml:space="preserve"> </w:t>
      </w:r>
      <w:r>
        <w:t>a</w:t>
      </w:r>
      <w:r>
        <w:rPr>
          <w:spacing w:val="-6"/>
        </w:rPr>
        <w:t xml:space="preserve"> </w:t>
      </w:r>
      <w:r>
        <w:t>waiver</w:t>
      </w:r>
      <w:r>
        <w:rPr>
          <w:spacing w:val="-7"/>
        </w:rPr>
        <w:t xml:space="preserve"> </w:t>
      </w:r>
      <w:r>
        <w:t>for estimated expenditures over $500</w:t>
      </w:r>
      <w:r>
        <w:rPr>
          <w:spacing w:val="-13"/>
        </w:rPr>
        <w:t xml:space="preserve"> </w:t>
      </w:r>
      <w:r>
        <w:t>thousand.</w:t>
      </w:r>
    </w:p>
    <w:p w:rsidR="002D69F1" w:rsidRDefault="002D69F1">
      <w:pPr>
        <w:spacing w:line="278" w:lineRule="auto"/>
        <w:sectPr w:rsidR="002D69F1">
          <w:type w:val="continuous"/>
          <w:pgSz w:w="12240" w:h="15840"/>
          <w:pgMar w:top="1440" w:right="1460" w:bottom="280" w:left="1320" w:header="720" w:footer="720" w:gutter="0"/>
          <w:cols w:space="720"/>
        </w:sectPr>
      </w:pPr>
    </w:p>
    <w:p w:rsidR="002D69F1" w:rsidRDefault="00400742">
      <w:pPr>
        <w:pStyle w:val="BodyText"/>
        <w:spacing w:before="39" w:line="276" w:lineRule="auto"/>
        <w:ind w:right="377"/>
        <w:jc w:val="both"/>
      </w:pPr>
      <w:r>
        <w:lastRenderedPageBreak/>
        <w:t>EXIM Bank’s review of conference expenditures ensures compliance with OMB policies. EXIM Bank’s Annual Conference supports the mission of the Bank and outreach efforts. Details of the conference expenses are cited below:</w:t>
      </w:r>
    </w:p>
    <w:p w:rsidR="00844687" w:rsidRDefault="00844687">
      <w:pPr>
        <w:pStyle w:val="BodyText"/>
        <w:spacing w:before="194"/>
      </w:pPr>
      <w:r w:rsidRPr="00844687">
        <w:t>In FY 2018, EXIM Bank’s annual conference expenses were $424,261.05 for its two-day conference. The revenue-generate event collected $296,723.00 in conference fees that helped offset the conference expenses. The annual conference net cost was $127,538.05.</w:t>
      </w:r>
    </w:p>
    <w:p w:rsidR="002D69F1" w:rsidRDefault="00400742">
      <w:pPr>
        <w:pStyle w:val="BodyText"/>
        <w:spacing w:before="194"/>
      </w:pPr>
      <w:r>
        <w:t xml:space="preserve">EXIM Bank paid travel expenses for </w:t>
      </w:r>
      <w:proofErr w:type="gramStart"/>
      <w:r w:rsidR="003334DF">
        <w:t>four</w:t>
      </w:r>
      <w:r>
        <w:t>(</w:t>
      </w:r>
      <w:proofErr w:type="gramEnd"/>
      <w:r w:rsidR="003334DF">
        <w:t>4</w:t>
      </w:r>
      <w:r>
        <w:t>) EXIM Bank regional employees</w:t>
      </w:r>
      <w:r w:rsidR="003334DF">
        <w:t xml:space="preserve"> totaling $6,850.15</w:t>
      </w:r>
      <w:bookmarkStart w:id="0" w:name="_GoBack"/>
      <w:bookmarkEnd w:id="0"/>
      <w:r>
        <w:t>.</w:t>
      </w:r>
    </w:p>
    <w:sectPr w:rsidR="002D69F1">
      <w:pgSz w:w="12240" w:h="15840"/>
      <w:pgMar w:top="1460" w:right="146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7E6742"/>
    <w:multiLevelType w:val="hybridMultilevel"/>
    <w:tmpl w:val="30CC77C8"/>
    <w:lvl w:ilvl="0" w:tplc="94E218F0">
      <w:numFmt w:val="bullet"/>
      <w:lvlText w:val="•"/>
      <w:lvlJc w:val="left"/>
      <w:pPr>
        <w:ind w:left="838" w:hanging="720"/>
      </w:pPr>
      <w:rPr>
        <w:rFonts w:ascii="Calibri" w:eastAsia="Calibri" w:hAnsi="Calibri" w:cs="Calibri" w:hint="default"/>
        <w:w w:val="99"/>
        <w:sz w:val="22"/>
        <w:szCs w:val="22"/>
      </w:rPr>
    </w:lvl>
    <w:lvl w:ilvl="1" w:tplc="04EE88A4">
      <w:numFmt w:val="bullet"/>
      <w:lvlText w:val="•"/>
      <w:lvlJc w:val="left"/>
      <w:pPr>
        <w:ind w:left="1702" w:hanging="720"/>
      </w:pPr>
      <w:rPr>
        <w:rFonts w:hint="default"/>
      </w:rPr>
    </w:lvl>
    <w:lvl w:ilvl="2" w:tplc="6454760C">
      <w:numFmt w:val="bullet"/>
      <w:lvlText w:val="•"/>
      <w:lvlJc w:val="left"/>
      <w:pPr>
        <w:ind w:left="2564" w:hanging="720"/>
      </w:pPr>
      <w:rPr>
        <w:rFonts w:hint="default"/>
      </w:rPr>
    </w:lvl>
    <w:lvl w:ilvl="3" w:tplc="4C1C4BCE">
      <w:numFmt w:val="bullet"/>
      <w:lvlText w:val="•"/>
      <w:lvlJc w:val="left"/>
      <w:pPr>
        <w:ind w:left="3426" w:hanging="720"/>
      </w:pPr>
      <w:rPr>
        <w:rFonts w:hint="default"/>
      </w:rPr>
    </w:lvl>
    <w:lvl w:ilvl="4" w:tplc="84FACAD8">
      <w:numFmt w:val="bullet"/>
      <w:lvlText w:val="•"/>
      <w:lvlJc w:val="left"/>
      <w:pPr>
        <w:ind w:left="4288" w:hanging="720"/>
      </w:pPr>
      <w:rPr>
        <w:rFonts w:hint="default"/>
      </w:rPr>
    </w:lvl>
    <w:lvl w:ilvl="5" w:tplc="67803996">
      <w:numFmt w:val="bullet"/>
      <w:lvlText w:val="•"/>
      <w:lvlJc w:val="left"/>
      <w:pPr>
        <w:ind w:left="5150" w:hanging="720"/>
      </w:pPr>
      <w:rPr>
        <w:rFonts w:hint="default"/>
      </w:rPr>
    </w:lvl>
    <w:lvl w:ilvl="6" w:tplc="92F4430C">
      <w:numFmt w:val="bullet"/>
      <w:lvlText w:val="•"/>
      <w:lvlJc w:val="left"/>
      <w:pPr>
        <w:ind w:left="6012" w:hanging="720"/>
      </w:pPr>
      <w:rPr>
        <w:rFonts w:hint="default"/>
      </w:rPr>
    </w:lvl>
    <w:lvl w:ilvl="7" w:tplc="6F8816EA">
      <w:numFmt w:val="bullet"/>
      <w:lvlText w:val="•"/>
      <w:lvlJc w:val="left"/>
      <w:pPr>
        <w:ind w:left="6874" w:hanging="720"/>
      </w:pPr>
      <w:rPr>
        <w:rFonts w:hint="default"/>
      </w:rPr>
    </w:lvl>
    <w:lvl w:ilvl="8" w:tplc="82A44A5A">
      <w:numFmt w:val="bullet"/>
      <w:lvlText w:val="•"/>
      <w:lvlJc w:val="left"/>
      <w:pPr>
        <w:ind w:left="7736" w:hanging="72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drawingGridHorizontalSpacing w:val="110"/>
  <w:displayHorizontalDrawingGridEvery w:val="2"/>
  <w:characterSpacingControl w:val="doNotCompress"/>
  <w:compat>
    <w:ulTrailSpace/>
    <w:useFELayout/>
    <w:compatSetting w:name="compatibilityMode" w:uri="http://schemas.microsoft.com/office/word" w:val="12"/>
  </w:compat>
  <w:rsids>
    <w:rsidRoot w:val="002D69F1"/>
    <w:rsid w:val="002D69F1"/>
    <w:rsid w:val="003334DF"/>
    <w:rsid w:val="00400742"/>
    <w:rsid w:val="0084468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Pr>
      <w:rFonts w:ascii="Calibri" w:eastAsia="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18"/>
    </w:pPr>
  </w:style>
  <w:style w:type="paragraph" w:styleId="ListParagraph">
    <w:name w:val="List Paragraph"/>
    <w:basedOn w:val="Normal"/>
    <w:uiPriority w:val="1"/>
    <w:qFormat/>
    <w:pPr>
      <w:spacing w:before="1"/>
      <w:ind w:left="838" w:hanging="72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844687"/>
    <w:rPr>
      <w:rFonts w:ascii="Tahoma" w:hAnsi="Tahoma" w:cs="Tahoma"/>
      <w:sz w:val="16"/>
      <w:szCs w:val="16"/>
    </w:rPr>
  </w:style>
  <w:style w:type="character" w:customStyle="1" w:styleId="BalloonTextChar">
    <w:name w:val="Balloon Text Char"/>
    <w:basedOn w:val="DefaultParagraphFont"/>
    <w:link w:val="BalloonText"/>
    <w:uiPriority w:val="99"/>
    <w:semiHidden/>
    <w:rsid w:val="00844687"/>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TotalTime>
  <Pages>2</Pages>
  <Words>391</Words>
  <Characters>2230</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Microsoft Word - OMB Reporting for FY 2017 Annual Conference Report_FINAL(1).docx</vt:lpstr>
    </vt:vector>
  </TitlesOfParts>
  <Company/>
  <LinksUpToDate>false</LinksUpToDate>
  <CharactersWithSpaces>2616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OMB Reporting for FY 2017 Annual Conference Report_FINAL(1).docx</dc:title>
  <dc:creator>whitej</dc:creator>
  <cp:lastModifiedBy>Niki Shepperd</cp:lastModifiedBy>
  <cp:revision>3</cp:revision>
  <dcterms:created xsi:type="dcterms:W3CDTF">2019-02-22T19:40:00Z</dcterms:created>
  <dcterms:modified xsi:type="dcterms:W3CDTF">2019-02-27T18:38:00Z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2018-07-13T00:00:00Z</vt:filetime>
  </property>
  <property fmtid="{D5CDD505-2E9C-101B-9397-08002B2CF9AE}" pid="3" name="Creator">
    <vt:lpwstr>PScript5.dll Version 5.2.2</vt:lpwstr>
  </property>
  <property fmtid="{D5CDD505-2E9C-101B-9397-08002B2CF9AE}" pid="4" name="LastSaved">
    <vt:filetime>2019-02-22T00:00:00Z</vt:filetime>
  </property>
</Properties>
</file>